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line="240" w:lineRule="auto"/>
        <w:jc w:val="center"/>
        <w:rPr>
          <w:rFonts w:ascii="Fira Sans" w:cs="Fira Sans" w:eastAsia="Fira Sans" w:hAnsi="Fira Sans"/>
          <w:color w:val="1a1a1a"/>
          <w:sz w:val="21"/>
          <w:szCs w:val="21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1"/>
          <w:szCs w:val="21"/>
          <w:rtl w:val="0"/>
        </w:rPr>
        <w:t xml:space="preserve">Порядок включения НКО в реестр социально ориентированных некоммерческих организаций, сформированный в соответствии с постановлением Правительства Российской Федерации от 30 июля 2021 г. № 1290 "О реестре социально ориентированных некоммерческих организаций"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Шаг 1.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Некоммерческая организация </w:t>
      </w: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соответствует критерию 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включения в реестр, определенным постановлением:</w:t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получила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грант Президента Российской Федерации</w:t>
      </w:r>
      <w:r w:rsidDel="00000000" w:rsidR="00000000" w:rsidRPr="00000000">
        <w:rPr>
          <w:rFonts w:ascii="Fira Sans" w:cs="Fira Sans" w:eastAsia="Fira Sans" w:hAnsi="Fira Sans"/>
          <w:i w:val="1"/>
          <w:color w:val="1a1a1a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получила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финансовую</w:t>
      </w: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 поддержку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(субсидию или грант);</w:t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получила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имущественную</w:t>
      </w: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 поддержку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является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поставщиком социальных услуг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является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исполнителем общественно полезных услуг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(ИОПУ);</w:t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является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благотворительной организацией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, сдавшей отчетность в Минюст России;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-        является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частной образовательной организацией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с соответствующей лицензией.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Шаг 2.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Уполномоченный орган власти/организация </w:t>
      </w: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САМОСТОЯТЕЛЬНО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включают НКО в реестр (Н</w:t>
      </w:r>
      <w:r w:rsidDel="00000000" w:rsidR="00000000" w:rsidRPr="00000000">
        <w:rPr>
          <w:rFonts w:ascii="Fira Sans" w:cs="Fira Sans" w:eastAsia="Fira Sans" w:hAnsi="Fira Sans"/>
          <w:i w:val="1"/>
          <w:color w:val="1a1a1a"/>
          <w:sz w:val="20"/>
          <w:szCs w:val="20"/>
          <w:rtl w:val="0"/>
        </w:rPr>
        <w:t xml:space="preserve">КО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не подают заявлений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на включение в реестр</w:t>
      </w:r>
      <w:r w:rsidDel="00000000" w:rsidR="00000000" w:rsidRPr="00000000">
        <w:rPr>
          <w:rFonts w:ascii="Fira Sans" w:cs="Fira Sans" w:eastAsia="Fira Sans" w:hAnsi="Fira Sans"/>
          <w:i w:val="1"/>
          <w:color w:val="1a1a1a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:</w:t>
      </w:r>
    </w:p>
    <w:tbl>
      <w:tblPr>
        <w:tblStyle w:val="Table1"/>
        <w:tblW w:w="933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188"/>
        <w:gridCol w:w="5151"/>
        <w:tblGridChange w:id="0">
          <w:tblGrid>
            <w:gridCol w:w="4188"/>
            <w:gridCol w:w="51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Критерий по постановлению № 1290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Уполномоченный орган власти/организация, включающий (ая) НКО в реестр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получатель финансовой/имущественной поддержки (субсидий или грантов) на федеральном уровне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федеральный орган власти, оказавший поддержку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получатель финансовой/имущественной поддержки на региональном или муниципальном уровне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уполномоченный региональный орган власти (доступ в систему имеет только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один орган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 от региона)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поставщик социальных услуг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уполномоченный региональный орган власти (доступ в систему имеет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только один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 орган от региона)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получатель грантов Президента Российской Федерации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Фонд Президентских грантов,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Фонд культурных инициатив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исполнитель общественно полезных услуг (ИОПУ)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Минюст России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благотворительная организация, сдавшая отчетность в Минюст России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частная образовательная организация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94.0" w:type="dxa"/>
              <w:left w:w="194.0" w:type="dxa"/>
              <w:bottom w:w="194.0" w:type="dxa"/>
              <w:right w:w="194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1"/>
                <w:szCs w:val="21"/>
                <w:rtl w:val="0"/>
              </w:rPr>
              <w:t xml:space="preserve">Рособрнадзор</w:t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0"/>
          <w:szCs w:val="20"/>
          <w:rtl w:val="0"/>
        </w:rPr>
        <w:t xml:space="preserve">Шаг 3. 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В случае, если организация </w:t>
      </w:r>
      <w:r w:rsidDel="00000000" w:rsidR="00000000" w:rsidRPr="00000000">
        <w:rPr>
          <w:rFonts w:ascii="Fira Sans" w:cs="Fira Sans" w:eastAsia="Fira Sans" w:hAnsi="Fira Sans"/>
          <w:i w:val="1"/>
          <w:color w:val="1a1a1a"/>
          <w:sz w:val="20"/>
          <w:szCs w:val="20"/>
          <w:rtl w:val="0"/>
        </w:rPr>
        <w:t xml:space="preserve">отсутствует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в реестре – обратиться в уполномоченный орган власти/организацию.</w:t>
      </w:r>
    </w:p>
    <w:p w:rsidR="00000000" w:rsidDel="00000000" w:rsidP="00000000" w:rsidRDefault="00000000" w:rsidRPr="00000000" w14:paraId="0000001E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0"/>
          <w:szCs w:val="20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* Минэкономразвития России </w:t>
      </w:r>
      <w:r w:rsidDel="00000000" w:rsidR="00000000" w:rsidRPr="00000000">
        <w:rPr>
          <w:rFonts w:ascii="Fira Sans" w:cs="Fira Sans" w:eastAsia="Fira Sans" w:hAnsi="Fira Sans"/>
          <w:b w:val="1"/>
          <w:i w:val="1"/>
          <w:color w:val="1a1a1a"/>
          <w:sz w:val="20"/>
          <w:szCs w:val="20"/>
          <w:rtl w:val="0"/>
        </w:rPr>
        <w:t xml:space="preserve">не уполномочено</w:t>
      </w:r>
      <w:r w:rsidDel="00000000" w:rsidR="00000000" w:rsidRPr="00000000">
        <w:rPr>
          <w:rFonts w:ascii="Fira Sans" w:cs="Fira Sans" w:eastAsia="Fira Sans" w:hAnsi="Fira Sans"/>
          <w:color w:val="1a1a1a"/>
          <w:sz w:val="20"/>
          <w:szCs w:val="20"/>
          <w:rtl w:val="0"/>
        </w:rPr>
        <w:t xml:space="preserve"> включать организации в реестр.</w:t>
      </w:r>
    </w:p>
    <w:p w:rsidR="00000000" w:rsidDel="00000000" w:rsidP="00000000" w:rsidRDefault="00000000" w:rsidRPr="00000000" w14:paraId="0000001F">
      <w:pPr>
        <w:spacing w:after="300" w:before="3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33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352"/>
        <w:gridCol w:w="4987"/>
        <w:tblGridChange w:id="0">
          <w:tblGrid>
            <w:gridCol w:w="4352"/>
            <w:gridCol w:w="498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94.0" w:type="dxa"/>
              <w:left w:w="194.0" w:type="dxa"/>
              <w:bottom w:w="194.0" w:type="dxa"/>
              <w:right w:w="194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Критерии признания НКО социально ориентированной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94.0" w:type="dxa"/>
              <w:left w:w="194.0" w:type="dxa"/>
              <w:bottom w:w="194.0" w:type="dxa"/>
              <w:right w:w="194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НКО создана в одной из форм, предусмотренных </w:t>
            </w:r>
            <w:hyperlink r:id="rId6">
              <w:r w:rsidDel="00000000" w:rsidR="00000000" w:rsidRPr="00000000">
                <w:rPr>
                  <w:rFonts w:ascii="Fira Sans" w:cs="Fira Sans" w:eastAsia="Fira Sans" w:hAnsi="Fira Sans"/>
                  <w:b w:val="1"/>
                  <w:color w:val="0088cc"/>
                  <w:sz w:val="21"/>
                  <w:szCs w:val="21"/>
                  <w:u w:val="single"/>
                  <w:rtl w:val="0"/>
                </w:rPr>
                <w:t xml:space="preserve">Федеральным законом «О некоммерческих организациях»</w:t>
              </w:r>
            </w:hyperlink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 *: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Fonts w:ascii="Fira Sans" w:cs="Fira Sans" w:eastAsia="Fira Sans" w:hAnsi="Fira Sans"/>
                <w:i w:val="1"/>
                <w:color w:val="1a1a1a"/>
                <w:sz w:val="21"/>
                <w:szCs w:val="21"/>
                <w:rtl w:val="0"/>
              </w:rPr>
              <w:t xml:space="preserve">*за исключением государственных корпораций, государственных компаний, общественных объединений, являющихся политическими партиями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94.0" w:type="dxa"/>
              <w:left w:w="194.0" w:type="dxa"/>
              <w:bottom w:w="194.0" w:type="dxa"/>
              <w:right w:w="194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1) общественные организации (</w:t>
            </w:r>
            <w:r w:rsidDel="00000000" w:rsidR="00000000" w:rsidRPr="00000000">
              <w:rPr>
                <w:rFonts w:ascii="Fira Sans" w:cs="Fira Sans" w:eastAsia="Fira Sans" w:hAnsi="Fira Sans"/>
                <w:i w:val="1"/>
                <w:color w:val="1a1a1a"/>
                <w:sz w:val="21"/>
                <w:szCs w:val="21"/>
                <w:rtl w:val="0"/>
              </w:rPr>
              <w:t xml:space="preserve">за исключением политических партий</w:t>
            </w: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); 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2) религиозные объединения;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3) фонды;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4)  некоммерческие партнерства (</w:t>
            </w:r>
            <w:r w:rsidDel="00000000" w:rsidR="00000000" w:rsidRPr="00000000">
              <w:rPr>
                <w:rFonts w:ascii="Fira Sans" w:cs="Fira Sans" w:eastAsia="Fira Sans" w:hAnsi="Fira Sans"/>
                <w:i w:val="1"/>
                <w:color w:val="1a1a1a"/>
                <w:sz w:val="21"/>
                <w:szCs w:val="21"/>
                <w:rtl w:val="0"/>
              </w:rPr>
              <w:t xml:space="preserve">в настоящее время применяются нормы об ассоциациях (союзах</w:t>
            </w: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5) частные учреждения;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6) автономные некоммерческие организации;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7) ассоциации (союзы);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8) общины коренных малочисленных народов Российской Федерации;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9) казачьи общества.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94.0" w:type="dxa"/>
              <w:left w:w="194.0" w:type="dxa"/>
              <w:bottom w:w="194.0" w:type="dxa"/>
              <w:right w:w="194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В учредительных документах (уставе) НКО отражен один или несколько видов деятельности, перечисленных в статье 31.1 </w:t>
            </w:r>
            <w:hyperlink r:id="rId7">
              <w:r w:rsidDel="00000000" w:rsidR="00000000" w:rsidRPr="00000000">
                <w:rPr>
                  <w:rFonts w:ascii="Fira Sans" w:cs="Fira Sans" w:eastAsia="Fira Sans" w:hAnsi="Fira Sans"/>
                  <w:b w:val="1"/>
                  <w:color w:val="0088cc"/>
                  <w:sz w:val="21"/>
                  <w:szCs w:val="21"/>
                  <w:u w:val="single"/>
                  <w:rtl w:val="0"/>
                </w:rPr>
                <w:t xml:space="preserve">Федерального закона «О некоммерческих организациях»</w:t>
              </w:r>
            </w:hyperlink>
            <w:r w:rsidDel="00000000" w:rsidR="00000000" w:rsidRPr="00000000">
              <w:rPr>
                <w:rFonts w:ascii="Fira Sans" w:cs="Fira Sans" w:eastAsia="Fira Sans" w:hAnsi="Fira Sans"/>
                <w:b w:val="1"/>
                <w:color w:val="1a1a1a"/>
                <w:sz w:val="21"/>
                <w:szCs w:val="2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94.0" w:type="dxa"/>
              <w:left w:w="194.0" w:type="dxa"/>
              <w:bottom w:w="194.0" w:type="dxa"/>
              <w:right w:w="194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1)      социальное обслуживание, социальная поддержка и защита граждан;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2)     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3)     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4)      охрана окружающей среды и защита животных;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5)     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6)     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7)      профилактика социально опасных форм поведения граждан;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8)      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9)     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10)    формирование в обществе нетерпимости к коррупционному поведению;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11)    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12)    деятельность в сфере патриотического, в том числе военно-патриотического, воспитания граждан Российской Федерации;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13)   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14)    участие в профилактике и (или) тушении пожаров и проведении аварийно-спасательных работ;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15)    социальная и культурная адаптация и интеграция мигрантов;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16)   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17)    содействие повышению мобильности трудовых ресурсов;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18)    увековечение памяти жертв политических репрессий.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Fira Sans" w:cs="Fira Sans" w:eastAsia="Fira Sans" w:hAnsi="Fira Sans"/>
                <w:color w:val="1a1a1a"/>
                <w:sz w:val="21"/>
                <w:szCs w:val="21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1a1a1a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spacing w:after="150" w:line="240" w:lineRule="auto"/>
        <w:jc w:val="center"/>
        <w:rPr>
          <w:rFonts w:ascii="Fira Sans" w:cs="Fira Sans" w:eastAsia="Fira Sans" w:hAnsi="Fira Sans"/>
          <w:color w:val="1a1a1a"/>
          <w:sz w:val="21"/>
          <w:szCs w:val="21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1"/>
          <w:szCs w:val="21"/>
        </w:rPr>
      </w:pPr>
      <w:r w:rsidDel="00000000" w:rsidR="00000000" w:rsidRPr="00000000">
        <w:rPr>
          <w:rFonts w:ascii="Fira Sans" w:cs="Fira Sans" w:eastAsia="Fira Sans" w:hAnsi="Fira Sans"/>
          <w:b w:val="1"/>
          <w:color w:val="1a1a1a"/>
          <w:sz w:val="21"/>
          <w:szCs w:val="21"/>
          <w:rtl w:val="0"/>
        </w:rPr>
        <w:t xml:space="preserve">Важно!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1"/>
          <w:szCs w:val="21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1"/>
          <w:szCs w:val="21"/>
          <w:rtl w:val="0"/>
        </w:rPr>
        <w:t xml:space="preserve">Никаких иных документов (в том числе факт нахождения НКО в Реестре социально ориентированных некоммерческих организаций, сформированном в соответствии с постановлением Правительства Российской Федерации от 30 июля 2021 г. № 1290), подтверждающих статус НКО как социально ориентированной, законодательством </w:t>
      </w:r>
      <w:r w:rsidDel="00000000" w:rsidR="00000000" w:rsidRPr="00000000">
        <w:rPr>
          <w:rFonts w:ascii="Fira Sans" w:cs="Fira Sans" w:eastAsia="Fira Sans" w:hAnsi="Fira Sans"/>
          <w:color w:val="1a1a1a"/>
          <w:sz w:val="21"/>
          <w:szCs w:val="21"/>
          <w:u w:val="single"/>
          <w:rtl w:val="0"/>
        </w:rPr>
        <w:t xml:space="preserve">не предусмотрено</w:t>
      </w:r>
      <w:r w:rsidDel="00000000" w:rsidR="00000000" w:rsidRPr="00000000">
        <w:rPr>
          <w:rFonts w:ascii="Fira Sans" w:cs="Fira Sans" w:eastAsia="Fira Sans" w:hAnsi="Fira Sans"/>
          <w:color w:val="1a1a1a"/>
          <w:sz w:val="21"/>
          <w:szCs w:val="21"/>
          <w:rtl w:val="0"/>
        </w:rPr>
        <w:t xml:space="preserve">. </w:t>
      </w:r>
    </w:p>
    <w:p w:rsidR="00000000" w:rsidDel="00000000" w:rsidP="00000000" w:rsidRDefault="00000000" w:rsidRPr="00000000" w14:paraId="00000047">
      <w:pPr>
        <w:shd w:fill="ffffff" w:val="clear"/>
        <w:spacing w:after="150" w:line="240" w:lineRule="auto"/>
        <w:rPr>
          <w:rFonts w:ascii="Fira Sans" w:cs="Fira Sans" w:eastAsia="Fira Sans" w:hAnsi="Fira Sans"/>
          <w:color w:val="1a1a1a"/>
          <w:sz w:val="21"/>
          <w:szCs w:val="21"/>
        </w:rPr>
      </w:pPr>
      <w:r w:rsidDel="00000000" w:rsidR="00000000" w:rsidRPr="00000000">
        <w:rPr>
          <w:rFonts w:ascii="Fira Sans" w:cs="Fira Sans" w:eastAsia="Fira Sans" w:hAnsi="Fira Sans"/>
          <w:color w:val="1a1a1a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remlin.ru/acts/bank/8742/page/1" TargetMode="External"/><Relationship Id="rId7" Type="http://schemas.openxmlformats.org/officeDocument/2006/relationships/hyperlink" Target="http://www.kremlin.ru/acts/bank/8742/page/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